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D4" w:rsidRDefault="009031DE" w:rsidP="0090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Юрюзанского </w:t>
      </w:r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71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17710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0770E8" w:rsidRDefault="00817710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02 » марта  </w:t>
      </w:r>
      <w:r w:rsidR="00717A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3F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314072"/>
            <wp:effectExtent l="19050" t="0" r="0" b="0"/>
            <wp:docPr id="3" name="Рисунок 1" descr="C:\Users\User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Муниципальная </w:t>
      </w: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Переселение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непригодного для проживания</w:t>
      </w: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жилищного фонда</w:t>
      </w:r>
    </w:p>
    <w:p w:rsidR="00831A5E" w:rsidRPr="000770E8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Юрюзанском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городском поселении</w:t>
      </w: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E8" w:rsidRPr="000770E8" w:rsidRDefault="000770E8" w:rsidP="00717A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="00F35B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программы "Переселение из </w:t>
      </w:r>
      <w:r w:rsidR="00F35B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непригодного для проживания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жилищного фонда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Юрюзанском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городском поселении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5"/>
        <w:gridCol w:w="438"/>
        <w:gridCol w:w="7057"/>
      </w:tblGrid>
      <w:tr w:rsidR="000770E8" w:rsidRPr="000770E8" w:rsidTr="006126F2">
        <w:trPr>
          <w:trHeight w:val="15"/>
          <w:tblCellSpacing w:w="15" w:type="dxa"/>
        </w:trPr>
        <w:tc>
          <w:tcPr>
            <w:tcW w:w="2570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12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770E8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7426EC" w:rsidRDefault="000770E8" w:rsidP="00C9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</w:t>
            </w:r>
            <w:r w:rsidR="00C93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Переселение из непригодного для проживания жилищного фонда в </w:t>
            </w:r>
            <w:proofErr w:type="spellStart"/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Юрюзанском</w:t>
            </w:r>
            <w:proofErr w:type="spellEnd"/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поселении </w:t>
            </w: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0770E8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Юрюзанского городского поселения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77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 и земельным отношениям  Администрации Юрюзанского городского поселения (Далее ОУИЗО)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Default="00772D6E" w:rsidP="0077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ОУИЗО, исполняющий обязанности ведущего специалиста по архитектуре и строительства</w:t>
            </w:r>
            <w:r w:rsidR="0083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контрактный управляющий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Юрюзанское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 условий для переселения граждан из аварийных многоквартирных домов, уменьшение жилищного фонда,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жилищного фонда, необходимого для переселения граждан из аварийного жилищного фонда;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жилищных прав граждан, проживающих в жилых помещениях муниципального жилищного фонда, находящихся в аварийных многоквартирных домах;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реестра участников Программы;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жителей многоквартирных домов, признанных аварийными по состоянию на 1 января 2017 года и подлежащих сносу или реконструкции (далее именуются - аварийные МКД);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освободившихся земельных участков после сноса аварийных МКД под строительство новых объектов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Default="00772D6E" w:rsidP="005D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178 505,36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72D6E" w:rsidRDefault="00772D6E" w:rsidP="005D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31A5E" w:rsidRDefault="00772D6E" w:rsidP="004F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E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всего: </w:t>
            </w:r>
          </w:p>
          <w:p w:rsidR="00772D6E" w:rsidRDefault="00831A5E" w:rsidP="004F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177 079,6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1A5E" w:rsidRDefault="00E24C55" w:rsidP="0083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 760 за счет средств Местного</w:t>
            </w:r>
            <w:r w:rsidR="00A90ED0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A22F1B" w:rsidRDefault="00A22F1B" w:rsidP="00A2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всего: </w:t>
            </w:r>
          </w:p>
          <w:p w:rsidR="00A22F1B" w:rsidRPr="000770E8" w:rsidRDefault="00A22F1B" w:rsidP="00A2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235,0 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</w:t>
            </w: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жилых помещений, признанных непригодными для проживания </w:t>
            </w:r>
            <w:r w:rsidR="00E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человек;</w:t>
            </w:r>
          </w:p>
          <w:p w:rsidR="00772D6E" w:rsidRPr="004276BF" w:rsidRDefault="00772D6E" w:rsidP="00494FDF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аварийного жилищного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Юрюзанского городского поселения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</w:t>
            </w:r>
            <w:r w:rsidR="0049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метра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прозрачности процедуры формирования реестра участников Программы</w:t>
            </w:r>
            <w:proofErr w:type="gramEnd"/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жилых помещениях, не отвечающих установленным санитарным и техническим требованиям;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жилищного фонда Юрюзанского городского поселения, признанного аварийным по состоянию на 1 января 2017 года и подлежащим сносу или реконструкции в связи с физическим износом в процессе его эксплуатации</w:t>
            </w:r>
          </w:p>
        </w:tc>
      </w:tr>
    </w:tbl>
    <w:p w:rsidR="005A7C2D" w:rsidRDefault="000770E8" w:rsidP="00275FEC">
      <w:pPr>
        <w:pStyle w:val="formattext"/>
        <w:jc w:val="both"/>
      </w:pPr>
      <w:r w:rsidRPr="000770E8">
        <w:br/>
      </w:r>
      <w:r w:rsidR="005A7C2D">
        <w:t>* Сумма средств областного бюджета Челябинской области подлежит уточнению перед принятием бюджета на очередной финансовый год, объем финансирования реализации мероприятий Программы из местных бюджетов определяется в соответствии с решениями о бюджетах соответствующих муниципальных образований Челябинской области.</w:t>
      </w:r>
    </w:p>
    <w:p w:rsidR="004276BF" w:rsidRDefault="005A7C2D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I. </w:t>
      </w:r>
    </w:p>
    <w:p w:rsidR="00275FEC" w:rsidRDefault="000770E8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проблемы и обоснование необходимости ее решения</w:t>
      </w:r>
    </w:p>
    <w:p w:rsidR="000770E8" w:rsidRPr="000770E8" w:rsidRDefault="000770E8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программными методами</w:t>
      </w:r>
    </w:p>
    <w:p w:rsidR="00DB7499" w:rsidRPr="00DB7499" w:rsidRDefault="000770E8" w:rsidP="00210D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0770E8">
        <w:br/>
      </w:r>
      <w:r w:rsidR="00DB7499" w:rsidRPr="00DB7499">
        <w:t xml:space="preserve">           </w:t>
      </w:r>
      <w:r w:rsidR="004276BF" w:rsidRPr="00DB7499">
        <w:t>1.</w:t>
      </w:r>
      <w:r w:rsidRPr="00DB7499">
        <w:t xml:space="preserve">1. </w:t>
      </w:r>
      <w:proofErr w:type="gramStart"/>
      <w:r w:rsidR="00DB7499" w:rsidRPr="00DB7499">
        <w:rPr>
          <w:spacing w:val="2"/>
        </w:rPr>
        <w:t>Программа разработана в соответствии с </w:t>
      </w:r>
      <w:hyperlink r:id="rId9" w:history="1">
        <w:r w:rsidR="00DB7499" w:rsidRPr="00DB7499">
          <w:rPr>
            <w:rStyle w:val="a3"/>
            <w:spacing w:val="2"/>
          </w:rPr>
          <w:t>Жилищным кодексом Российской Федерации</w:t>
        </w:r>
      </w:hyperlink>
      <w:r w:rsidR="00DB7499" w:rsidRPr="00DB7499">
        <w:rPr>
          <w:spacing w:val="2"/>
        </w:rPr>
        <w:t xml:space="preserve"> и государственной программой Челябинской области </w:t>
      </w:r>
      <w:r w:rsidR="00DB7499" w:rsidRPr="00DB7499">
        <w:rPr>
          <w:spacing w:val="2"/>
          <w:shd w:val="clear" w:color="auto" w:fill="FFFFFF"/>
        </w:rPr>
        <w:t xml:space="preserve">«Обеспечение доступным и комфортным жильем граждан Российской Федерации в Челябинской области», утвержденной </w:t>
      </w:r>
      <w:r w:rsidR="00DB7499" w:rsidRPr="00DB7499">
        <w:rPr>
          <w:spacing w:val="2"/>
        </w:rPr>
        <w:t xml:space="preserve">постановлением Правительства Челябинской области </w:t>
      </w:r>
      <w:r w:rsidR="00DB7499" w:rsidRPr="00DB7499">
        <w:rPr>
          <w:spacing w:val="2"/>
          <w:shd w:val="clear" w:color="auto" w:fill="FFFFFF"/>
        </w:rPr>
        <w:t xml:space="preserve">от 22 октября 2013 года № 349-П и </w:t>
      </w:r>
      <w:r w:rsidR="00DB7499" w:rsidRPr="00DB7499">
        <w:rPr>
          <w:spacing w:val="2"/>
        </w:rPr>
        <w:t>направлена на переселение граждан из аварийных многоквартирных домов в</w:t>
      </w:r>
      <w:r w:rsidR="00210D41">
        <w:rPr>
          <w:spacing w:val="2"/>
        </w:rPr>
        <w:t xml:space="preserve"> </w:t>
      </w:r>
      <w:proofErr w:type="spellStart"/>
      <w:r w:rsidR="00210D41">
        <w:rPr>
          <w:spacing w:val="2"/>
        </w:rPr>
        <w:t>Юрюзанском</w:t>
      </w:r>
      <w:proofErr w:type="spellEnd"/>
      <w:r w:rsidR="00210D41">
        <w:rPr>
          <w:spacing w:val="2"/>
        </w:rPr>
        <w:t xml:space="preserve"> городском поселении</w:t>
      </w:r>
      <w:r w:rsidR="00DB7499" w:rsidRPr="00DB7499">
        <w:rPr>
          <w:spacing w:val="2"/>
        </w:rPr>
        <w:t xml:space="preserve"> </w:t>
      </w:r>
      <w:proofErr w:type="spellStart"/>
      <w:r w:rsidR="00210D41">
        <w:rPr>
          <w:spacing w:val="2"/>
        </w:rPr>
        <w:t>Катав-Ивановского</w:t>
      </w:r>
      <w:proofErr w:type="spellEnd"/>
      <w:r w:rsidR="00DB7499" w:rsidRPr="00DB7499">
        <w:rPr>
          <w:spacing w:val="2"/>
        </w:rPr>
        <w:t xml:space="preserve"> </w:t>
      </w:r>
      <w:r w:rsidR="00210D41">
        <w:rPr>
          <w:spacing w:val="2"/>
        </w:rPr>
        <w:t>муниципального</w:t>
      </w:r>
      <w:r w:rsidR="00DB7499" w:rsidRPr="00DB7499">
        <w:rPr>
          <w:spacing w:val="2"/>
        </w:rPr>
        <w:t xml:space="preserve"> </w:t>
      </w:r>
      <w:r w:rsidR="00210D41">
        <w:rPr>
          <w:spacing w:val="2"/>
        </w:rPr>
        <w:t>района</w:t>
      </w:r>
      <w:r w:rsidR="00DB7499" w:rsidRPr="00DB7499">
        <w:rPr>
          <w:spacing w:val="2"/>
        </w:rPr>
        <w:t xml:space="preserve"> Челябинской области и обеспечение благоустроенным жильем граждан, проживающих</w:t>
      </w:r>
      <w:proofErr w:type="gramEnd"/>
      <w:r w:rsidR="00DB7499" w:rsidRPr="00DB7499">
        <w:rPr>
          <w:spacing w:val="2"/>
        </w:rPr>
        <w:t xml:space="preserve"> в аварийных домах.</w:t>
      </w:r>
    </w:p>
    <w:p w:rsidR="004276BF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</w:t>
      </w:r>
      <w:r w:rsidR="004276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76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территории </w:t>
      </w:r>
      <w:r w:rsidR="0018332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Юрюзанского городского поселения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жилищный фонд, признанный аварийным по состоянию на 1 января 2017 года, составляет более 1</w:t>
      </w:r>
      <w:r w:rsidR="001833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4078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метров.</w:t>
      </w:r>
    </w:p>
    <w:p w:rsidR="00F54078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Объектом рассмотрения Программы является жилищный фонд как совокупность жилых помещений многоквартирных домов, признанных по состоянию на 1 января 2017 года аварийными и подлежащими </w:t>
      </w:r>
      <w:r w:rsidR="0027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сносу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в связи с физическим износом.</w:t>
      </w:r>
    </w:p>
    <w:p w:rsidR="000770E8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признанных аварийными и подлежащих расселению, приведен в приложении 1 к Программе.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r>
        <w:t>1.4. Для создания условий улучшения гражданами жилищных условий требуется совершенствование законодательной и нормативной правовой базы в жилищном секторе. Необходимость ускоренного перехода к устойчивому функционированию и развитию жилищной сферы определяет целесообразность использования программно-целевого метода для решения указанных проблем, поскольку они: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- носят межотраслевой и межведомственный характер и не могут быть решены без участия федерального центра;</w:t>
      </w:r>
      <w:proofErr w:type="gramEnd"/>
    </w:p>
    <w:p w:rsidR="00DD2D83" w:rsidRDefault="00DD2D83" w:rsidP="006126F2">
      <w:pPr>
        <w:pStyle w:val="s1"/>
        <w:spacing w:before="0" w:beforeAutospacing="0" w:after="0" w:afterAutospacing="0"/>
        <w:ind w:firstLine="567"/>
      </w:pPr>
      <w:r>
        <w:t xml:space="preserve">- не могут быть </w:t>
      </w:r>
      <w:proofErr w:type="gramStart"/>
      <w:r>
        <w:t>решены</w:t>
      </w:r>
      <w:proofErr w:type="gramEnd"/>
      <w:r>
        <w:t xml:space="preserve"> в пределах одного финансового года и требуют значительных бюджетных расходов до 2022 года включительно;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r>
        <w:t>- носят комплексный характер, а их решение окажет существенное положительное влияние на социальное благополучие общества, общее экономическое развитие.</w:t>
      </w:r>
    </w:p>
    <w:p w:rsidR="004276BF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Раздел II.</w:t>
      </w:r>
    </w:p>
    <w:p w:rsidR="000770E8" w:rsidRPr="000770E8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цель и задачи программы</w:t>
      </w:r>
    </w:p>
    <w:p w:rsidR="004276BF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создание условий для переселения граждан из аварийных МКД, уменьшение жилищного фонда </w:t>
      </w:r>
      <w:r w:rsidR="004B1C7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Юрюзанского городского поселения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признанного аварийным и подлежащим сносу в установленном порядке в связи с физическим износом в процессе эксплуатации (далее именуется - аварийный жилищный фонд).</w:t>
      </w:r>
      <w:proofErr w:type="gramEnd"/>
    </w:p>
    <w:p w:rsidR="000770E8" w:rsidRPr="000770E8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задачами Программы являются: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жилищного фонда, необходимого для переселения граждан из аварийного жилищного фонда;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жилищных прав граждан, проживающих в жилых помещениях муниципального жилищного фонда, находящихся в аварийных МКД;</w:t>
      </w:r>
      <w:proofErr w:type="gramEnd"/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жилищных прав собственников изымаемых жилых помещений, находящихся </w:t>
      </w: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аварийных МКД;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переселение жителей </w:t>
      </w: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аварийных МКД.</w:t>
      </w:r>
    </w:p>
    <w:p w:rsidR="008C3425" w:rsidRDefault="0060520D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на основе следующих принципов: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положений Жилищного кодекса Российской Федерации при организации переселения граждан из аварийного жилищного фонда;</w:t>
      </w:r>
      <w:proofErr w:type="gramEnd"/>
    </w:p>
    <w:p w:rsidR="008C3425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полной и достоверной информации собственникам помещений в аварийных МКД для принятия решения об участии в Программе;</w:t>
      </w:r>
      <w:proofErr w:type="gramEnd"/>
    </w:p>
    <w:p w:rsidR="000770E8" w:rsidRPr="000770E8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э</w:t>
      </w:r>
      <w:r w:rsidR="00C16413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ффективное расходование средств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C7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0E8" w:rsidRPr="000770E8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</w:t>
      </w:r>
      <w:r w:rsidR="0060520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Этапы реализации программы</w:t>
      </w:r>
    </w:p>
    <w:p w:rsidR="000770E8" w:rsidRPr="000770E8" w:rsidRDefault="000770E8" w:rsidP="004F4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2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Реализация Программы предусматривается в рамках мероприятий по переселению граждан из аварийных МКД, осуществляемых </w:t>
      </w:r>
      <w:r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средств </w:t>
      </w:r>
      <w:r w:rsidR="00C1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413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 w:rsidR="004F42CB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местного</w:t>
      </w:r>
      <w:r w:rsidR="00C16413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42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законом.</w:t>
      </w:r>
    </w:p>
    <w:p w:rsidR="00F66E4C" w:rsidRDefault="0060520D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Программы проводится в </w:t>
      </w:r>
      <w:r w:rsidR="00CF5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этапа.</w:t>
      </w:r>
    </w:p>
    <w:p w:rsidR="00DD2D83" w:rsidRDefault="0060520D" w:rsidP="0061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E4C">
        <w:rPr>
          <w:rFonts w:ascii="Times New Roman" w:hAnsi="Times New Roman" w:cs="Times New Roman"/>
          <w:sz w:val="24"/>
          <w:szCs w:val="24"/>
        </w:rPr>
        <w:t>На I этапе</w:t>
      </w:r>
      <w:r w:rsidR="00275FEC">
        <w:rPr>
          <w:rFonts w:ascii="Times New Roman" w:hAnsi="Times New Roman" w:cs="Times New Roman"/>
          <w:sz w:val="24"/>
          <w:szCs w:val="24"/>
        </w:rPr>
        <w:t xml:space="preserve"> </w:t>
      </w:r>
      <w:r w:rsidR="00DD2D83" w:rsidRPr="00F66E4C">
        <w:rPr>
          <w:rFonts w:ascii="Times New Roman" w:hAnsi="Times New Roman" w:cs="Times New Roman"/>
          <w:sz w:val="24"/>
          <w:szCs w:val="24"/>
        </w:rPr>
        <w:t xml:space="preserve"> организационные мероприятия, осуществляемые </w:t>
      </w:r>
      <w:r w:rsidR="00275FEC">
        <w:rPr>
          <w:rFonts w:ascii="Times New Roman" w:hAnsi="Times New Roman" w:cs="Times New Roman"/>
          <w:sz w:val="24"/>
          <w:szCs w:val="24"/>
        </w:rPr>
        <w:t>Администрацией Юрюзанского городского поселения</w:t>
      </w:r>
      <w:r w:rsidR="00DD2D83" w:rsidRPr="00F66E4C">
        <w:rPr>
          <w:rFonts w:ascii="Times New Roman" w:hAnsi="Times New Roman" w:cs="Times New Roman"/>
          <w:sz w:val="24"/>
          <w:szCs w:val="24"/>
        </w:rPr>
        <w:t xml:space="preserve">, должны быть направлены </w:t>
      </w:r>
      <w:proofErr w:type="gramStart"/>
      <w:r w:rsidR="00DD2D83" w:rsidRPr="00F66E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D2D83" w:rsidRPr="00F66E4C">
        <w:rPr>
          <w:rFonts w:ascii="Times New Roman" w:hAnsi="Times New Roman" w:cs="Times New Roman"/>
          <w:sz w:val="24"/>
          <w:szCs w:val="24"/>
        </w:rPr>
        <w:t>: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-разработку градостроительной документации;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-выделение и комплексное обеспечение земельных участков инженерной инфраструктурой под жилую застройку, в том числе малоэтажную;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-обеспечение выделенных под жилую застройку земельных участков объектами как коммунальной, так и социальной инфраструктуры;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-проведение реконструкции объектов коммунального назначения с целью увеличения мощностей и обеспечения вновь построенных жилых домов;</w:t>
      </w:r>
    </w:p>
    <w:p w:rsidR="00F66E4C" w:rsidRDefault="00DD2D83" w:rsidP="006126F2">
      <w:pPr>
        <w:pStyle w:val="s1"/>
        <w:spacing w:before="0" w:beforeAutospacing="0" w:after="0" w:afterAutospacing="0"/>
        <w:ind w:firstLine="567"/>
      </w:pPr>
      <w:r>
        <w:t>- </w:t>
      </w:r>
      <w:r w:rsidR="00F66E4C">
        <w:t>мониторинг рынка вторичного жилья;</w:t>
      </w:r>
    </w:p>
    <w:p w:rsidR="00F66E4C" w:rsidRDefault="00F66E4C" w:rsidP="006126F2">
      <w:pPr>
        <w:pStyle w:val="s1"/>
        <w:spacing w:before="0" w:beforeAutospacing="0" w:after="0" w:afterAutospacing="0"/>
        <w:ind w:firstLine="567"/>
        <w:jc w:val="both"/>
      </w:pPr>
      <w:r>
        <w:t>-</w:t>
      </w:r>
      <w:r w:rsidR="00DD2D83">
        <w:t xml:space="preserve">определение рыночной стоимости </w:t>
      </w:r>
      <w:r>
        <w:t>приобретаемого жилого помещения</w:t>
      </w:r>
      <w:r w:rsidR="00DD2D83">
        <w:t xml:space="preserve"> у лиц</w:t>
      </w:r>
      <w:r>
        <w:t>,</w:t>
      </w:r>
      <w:r w:rsidR="00DD2D83">
        <w:t xml:space="preserve"> не являющихся застройщиками;</w:t>
      </w:r>
    </w:p>
    <w:p w:rsidR="00F66E4C" w:rsidRDefault="00F66E4C" w:rsidP="00BB14C7">
      <w:pPr>
        <w:pStyle w:val="s1"/>
        <w:spacing w:before="0" w:beforeAutospacing="0" w:after="0" w:afterAutospacing="0"/>
        <w:ind w:firstLine="567"/>
        <w:jc w:val="both"/>
      </w:pPr>
      <w:r>
        <w:t xml:space="preserve">-заключение предварительного соглашения с собственниками жилых помещений, находящихся в </w:t>
      </w:r>
      <w:proofErr w:type="gramStart"/>
      <w:r>
        <w:t>аварийном</w:t>
      </w:r>
      <w:proofErr w:type="gramEnd"/>
      <w:r>
        <w:t xml:space="preserve"> МКД, путем выплаты выкупной цены или</w:t>
      </w:r>
      <w:r w:rsidRPr="00F66E4C">
        <w:t xml:space="preserve"> </w:t>
      </w:r>
      <w:r>
        <w:t>приобретения  жилого помещения у лиц, не являющихся застройщиками;</w:t>
      </w:r>
    </w:p>
    <w:p w:rsidR="00F107E7" w:rsidRDefault="00F66E4C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-долевое участие в строительстве и (или) </w:t>
      </w:r>
      <w:r w:rsidRPr="00F66E4C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у застройщиков по цене в соответствии с </w:t>
      </w:r>
      <w:hyperlink r:id="rId10" w:history="1">
        <w:r w:rsidRPr="00F66E4C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66E4C">
        <w:rPr>
          <w:rFonts w:ascii="Times New Roman" w:hAnsi="Times New Roman" w:cs="Times New Roman"/>
          <w:sz w:val="24"/>
          <w:szCs w:val="24"/>
        </w:rPr>
        <w:t>.</w:t>
      </w:r>
    </w:p>
    <w:p w:rsidR="00F107E7" w:rsidRPr="00F107E7" w:rsidRDefault="00710E18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7E7">
        <w:rPr>
          <w:rFonts w:ascii="Times New Roman" w:hAnsi="Times New Roman" w:cs="Times New Roman"/>
          <w:sz w:val="24"/>
          <w:szCs w:val="24"/>
        </w:rPr>
        <w:t>Жилые помещения, приобретенные (построенные) в рамках государственных контрактов, передаются из государственной собственности Челябинской области в муниципальную собственность.</w:t>
      </w:r>
    </w:p>
    <w:p w:rsidR="00275FEC" w:rsidRPr="00275FEC" w:rsidRDefault="00F107E7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EC">
        <w:rPr>
          <w:rFonts w:ascii="Times New Roman" w:hAnsi="Times New Roman" w:cs="Times New Roman"/>
          <w:sz w:val="24"/>
          <w:szCs w:val="24"/>
        </w:rPr>
        <w:lastRenderedPageBreak/>
        <w:t xml:space="preserve">Перечни аварийных многоквартирных домов на соответствующий год определяются с учетом средств, выделенных из </w:t>
      </w:r>
      <w:r w:rsidR="004F42CB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275FEC">
        <w:rPr>
          <w:rFonts w:ascii="Times New Roman" w:hAnsi="Times New Roman" w:cs="Times New Roman"/>
          <w:sz w:val="24"/>
          <w:szCs w:val="24"/>
        </w:rPr>
        <w:t>,  возможности подбора равнозначных жилых помещений, приобретаемых в строящихся жилых домах.</w:t>
      </w:r>
    </w:p>
    <w:p w:rsidR="00F107E7" w:rsidRPr="00275FEC" w:rsidRDefault="00F107E7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EC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275FEC">
        <w:rPr>
          <w:rFonts w:ascii="Times New Roman" w:hAnsi="Times New Roman" w:cs="Times New Roman"/>
          <w:sz w:val="24"/>
          <w:szCs w:val="24"/>
        </w:rPr>
        <w:t>аварийных многоквартирных домов, планируемых к расселению определяются</w:t>
      </w:r>
      <w:proofErr w:type="gramEnd"/>
      <w:r w:rsidRPr="00275FEC">
        <w:rPr>
          <w:rFonts w:ascii="Times New Roman" w:hAnsi="Times New Roman" w:cs="Times New Roman"/>
          <w:sz w:val="24"/>
          <w:szCs w:val="24"/>
        </w:rPr>
        <w:t xml:space="preserve"> на каждый год в соответствии с выделенными денежными средствами.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 w:rsidRPr="00F107E7">
        <w:t>На II этапе осуществляется переселение граждан и снос многоквартирных</w:t>
      </w:r>
      <w:r>
        <w:t xml:space="preserve"> аварийных домов.</w:t>
      </w:r>
      <w:r w:rsidR="00C42F01">
        <w:t xml:space="preserve"> Основные мероприятия приведены в Приложении 2 к Программе.</w:t>
      </w:r>
    </w:p>
    <w:p w:rsidR="000770E8" w:rsidRPr="000770E8" w:rsidRDefault="000770E8" w:rsidP="006126F2">
      <w:pPr>
        <w:pStyle w:val="s1"/>
        <w:spacing w:before="0" w:beforeAutospacing="0" w:after="0" w:afterAutospacing="0"/>
        <w:ind w:firstLine="567"/>
        <w:jc w:val="both"/>
      </w:pPr>
      <w:r w:rsidRPr="000770E8">
        <w:t>Информация о механизмах реализации Программы, а также промежуточных результатах реализации Программы, в разбивке по способам переселения, а также сведения о планируемых сроках достижения указанных промежуточных результатов приведены в таблице 1.</w:t>
      </w:r>
    </w:p>
    <w:p w:rsidR="00275FEC" w:rsidRPr="008C3425" w:rsidRDefault="006E049B" w:rsidP="006126F2">
      <w:pPr>
        <w:pStyle w:val="s3"/>
        <w:ind w:firstLine="567"/>
        <w:jc w:val="center"/>
        <w:rPr>
          <w:b/>
          <w:sz w:val="26"/>
          <w:szCs w:val="26"/>
        </w:rPr>
      </w:pPr>
      <w:r w:rsidRPr="00275FEC">
        <w:rPr>
          <w:b/>
          <w:sz w:val="26"/>
          <w:szCs w:val="26"/>
        </w:rPr>
        <w:t xml:space="preserve">Раздел </w:t>
      </w:r>
      <w:r w:rsidR="00275FEC" w:rsidRPr="00275FEC">
        <w:rPr>
          <w:b/>
          <w:sz w:val="26"/>
          <w:szCs w:val="26"/>
          <w:lang w:val="en-US"/>
        </w:rPr>
        <w:t>I</w:t>
      </w:r>
      <w:r w:rsidRPr="00275FEC">
        <w:rPr>
          <w:b/>
          <w:sz w:val="26"/>
          <w:szCs w:val="26"/>
        </w:rPr>
        <w:t>V.</w:t>
      </w:r>
    </w:p>
    <w:p w:rsidR="006E049B" w:rsidRPr="00275FEC" w:rsidRDefault="006E049B" w:rsidP="006126F2">
      <w:pPr>
        <w:pStyle w:val="s3"/>
        <w:ind w:firstLine="567"/>
        <w:jc w:val="center"/>
        <w:rPr>
          <w:b/>
          <w:sz w:val="26"/>
          <w:szCs w:val="26"/>
        </w:rPr>
      </w:pPr>
      <w:r w:rsidRPr="00275FEC">
        <w:rPr>
          <w:b/>
          <w:sz w:val="26"/>
          <w:szCs w:val="26"/>
        </w:rPr>
        <w:t>Ожидаемые результаты реализации муниципальной программы</w:t>
      </w:r>
    </w:p>
    <w:p w:rsidR="00F107E7" w:rsidRDefault="00275FEC" w:rsidP="006126F2">
      <w:pPr>
        <w:pStyle w:val="s1"/>
        <w:spacing w:before="0" w:beforeAutospacing="0" w:after="0" w:afterAutospacing="0"/>
        <w:ind w:firstLine="567"/>
        <w:jc w:val="both"/>
      </w:pPr>
      <w:r w:rsidRPr="00275FEC">
        <w:t>4</w:t>
      </w:r>
      <w:r w:rsidR="006E049B">
        <w:t>.1. Оценка эффективности и социально-экономических последствий реализации муниципальной программы будет производиться на основе системы целевых индикаторов и индикаторов оценки, которые представляют собой количественные показатели и позволят вести мониторинг динамики изменений в жилищной сфере за оцениваемый период с целью уточнения или корректировки поставленных задач и проводимых мероприятий.</w:t>
      </w:r>
    </w:p>
    <w:p w:rsidR="00F107E7" w:rsidRDefault="00275FEC" w:rsidP="006126F2">
      <w:pPr>
        <w:pStyle w:val="s1"/>
        <w:spacing w:before="0" w:beforeAutospacing="0" w:after="0" w:afterAutospacing="0"/>
        <w:ind w:firstLine="567"/>
        <w:jc w:val="both"/>
      </w:pPr>
      <w:r w:rsidRPr="00737A05">
        <w:t>4</w:t>
      </w:r>
      <w:r w:rsidR="006E049B">
        <w:t>.2. Реализация муниципальной программы должна обеспечить достижение следующих показателей: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>- расселение</w:t>
      </w:r>
      <w:r w:rsidR="00494FDF">
        <w:t xml:space="preserve"> 126 помещений из </w:t>
      </w:r>
      <w:r>
        <w:t xml:space="preserve"> </w:t>
      </w:r>
      <w:r w:rsidR="00494FDF">
        <w:t>39</w:t>
      </w:r>
      <w:r>
        <w:t xml:space="preserve"> МКД, общей площадью </w:t>
      </w:r>
      <w:r w:rsidR="00A90ED0">
        <w:t>40</w:t>
      </w:r>
      <w:r w:rsidR="00494FDF">
        <w:t>51,2</w:t>
      </w:r>
      <w:r>
        <w:t xml:space="preserve">кв. м., признанных аварийными </w:t>
      </w:r>
      <w:r w:rsidR="00737A05">
        <w:t xml:space="preserve">и подлежащими сносу </w:t>
      </w:r>
      <w:r>
        <w:t xml:space="preserve"> в связи с физическим износом в процессе их эксплуатации;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 xml:space="preserve">- переселение </w:t>
      </w:r>
      <w:r w:rsidR="00494FDF">
        <w:t>269</w:t>
      </w:r>
      <w:r>
        <w:t xml:space="preserve"> жителей;</w:t>
      </w:r>
    </w:p>
    <w:p w:rsidR="006E049B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 xml:space="preserve">- снос </w:t>
      </w:r>
      <w:proofErr w:type="gramStart"/>
      <w:r w:rsidR="00494FDF">
        <w:t>аварийных</w:t>
      </w:r>
      <w:proofErr w:type="gramEnd"/>
      <w:r>
        <w:t xml:space="preserve"> МКД.</w:t>
      </w:r>
    </w:p>
    <w:p w:rsidR="00F107E7" w:rsidRPr="002C4AFD" w:rsidRDefault="002C4AFD" w:rsidP="006126F2">
      <w:pPr>
        <w:pStyle w:val="s3"/>
        <w:ind w:firstLine="567"/>
        <w:jc w:val="center"/>
        <w:rPr>
          <w:b/>
        </w:rPr>
      </w:pPr>
      <w:r w:rsidRPr="002C4AFD">
        <w:rPr>
          <w:b/>
          <w:lang w:val="en-US"/>
        </w:rPr>
        <w:t>V</w:t>
      </w:r>
      <w:r w:rsidR="006126F2">
        <w:rPr>
          <w:b/>
        </w:rPr>
        <w:t>. Ресурсное обеспечение П</w:t>
      </w:r>
      <w:r w:rsidR="00F107E7" w:rsidRPr="002C4AFD">
        <w:rPr>
          <w:b/>
        </w:rPr>
        <w:t>рограммы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Источниками финансирования программы являются средства: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- областного бюджета в соответствии с законом Челябинской области об областном бюджете на соответствующий финансовый год;</w:t>
      </w:r>
    </w:p>
    <w:p w:rsidR="00EF3A05" w:rsidRDefault="00EF3A05" w:rsidP="006126F2">
      <w:pPr>
        <w:pStyle w:val="s1"/>
        <w:spacing w:before="0" w:beforeAutospacing="0" w:after="0" w:afterAutospacing="0"/>
        <w:ind w:firstLine="567"/>
      </w:pPr>
      <w:r>
        <w:t>-местного бюджета.</w:t>
      </w:r>
    </w:p>
    <w:p w:rsidR="00F107E7" w:rsidRPr="004F42CB" w:rsidRDefault="00C16413" w:rsidP="006126F2">
      <w:pPr>
        <w:pStyle w:val="s1"/>
        <w:spacing w:before="0" w:beforeAutospacing="0" w:after="0" w:afterAutospacing="0"/>
        <w:ind w:firstLine="567"/>
        <w:jc w:val="both"/>
      </w:pPr>
      <w:r w:rsidRPr="004F42CB">
        <w:t>Средства</w:t>
      </w:r>
      <w:r w:rsidR="00F107E7" w:rsidRPr="004F42CB">
        <w:t xml:space="preserve"> областного бюджета предоставляются </w:t>
      </w:r>
      <w:proofErr w:type="spellStart"/>
      <w:r w:rsidR="002C4AFD" w:rsidRPr="004F42CB">
        <w:t>Юрюзанскому</w:t>
      </w:r>
      <w:proofErr w:type="spellEnd"/>
      <w:r w:rsidR="002C4AFD" w:rsidRPr="004F42CB">
        <w:t xml:space="preserve"> горо</w:t>
      </w:r>
      <w:r w:rsidR="004D5563" w:rsidRPr="004F42CB">
        <w:t>дскому поселению</w:t>
      </w:r>
      <w:r w:rsidR="00F107E7" w:rsidRPr="004F42CB">
        <w:t xml:space="preserve"> в виде субсидий в пределах утвержденных бюджетных ассигнований на основании договоров между государственным заказчиком и </w:t>
      </w:r>
      <w:proofErr w:type="spellStart"/>
      <w:proofErr w:type="gramStart"/>
      <w:r w:rsidR="004D5563" w:rsidRPr="004F42CB">
        <w:t>Катав-Ивановским</w:t>
      </w:r>
      <w:proofErr w:type="spellEnd"/>
      <w:proofErr w:type="gramEnd"/>
      <w:r w:rsidR="004D5563" w:rsidRPr="004F42CB">
        <w:t xml:space="preserve"> муниципальным районом</w:t>
      </w:r>
      <w:r w:rsidR="00F107E7" w:rsidRPr="004F42CB">
        <w:t>, в соответствии с распределением субсидий муниципальным образованиям.</w:t>
      </w:r>
    </w:p>
    <w:p w:rsidR="00E94F27" w:rsidRDefault="00F107E7" w:rsidP="006126F2">
      <w:pPr>
        <w:pStyle w:val="s1"/>
        <w:spacing w:before="0" w:beforeAutospacing="0" w:after="0" w:afterAutospacing="0"/>
        <w:ind w:firstLine="567"/>
        <w:jc w:val="both"/>
      </w:pPr>
      <w:r>
        <w:t>Реализация средств областного бюджета определяется нормативными сроками строительства.</w:t>
      </w:r>
      <w:r w:rsidR="00E94F27" w:rsidRPr="00E94F27">
        <w:t xml:space="preserve"> </w:t>
      </w:r>
      <w:r w:rsidR="00E94F27">
        <w:t xml:space="preserve">В случае если стоимость 1 кв. м превышает цену приобретения жилых помещений, определяемой Министерством строительства и жилищно-коммунального хозяйства Российской Федерации для Челябинской области на момент заключения контракта, финансирование таких расходов на оплату превышения осуществляется за счет средств областного бюджета и (или) </w:t>
      </w:r>
      <w:r w:rsidR="008B7AAA">
        <w:t>района</w:t>
      </w:r>
      <w:r w:rsidR="00E94F27">
        <w:t>.</w:t>
      </w:r>
    </w:p>
    <w:p w:rsidR="00E94F27" w:rsidRDefault="00E94F27" w:rsidP="006126F2">
      <w:pPr>
        <w:pStyle w:val="s1"/>
        <w:spacing w:before="0" w:beforeAutospacing="0" w:after="0" w:afterAutospacing="0"/>
        <w:ind w:firstLine="567"/>
        <w:jc w:val="both"/>
      </w:pPr>
      <w:r>
        <w:t>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финансирование расходов на оплату стоимости такого превышения осуществляется за с</w:t>
      </w:r>
      <w:r w:rsidR="004F42CB">
        <w:t>чет средств областного бюджета.</w:t>
      </w:r>
    </w:p>
    <w:p w:rsidR="00767E81" w:rsidRDefault="00E94F27" w:rsidP="006126F2">
      <w:pPr>
        <w:pStyle w:val="s1"/>
        <w:spacing w:before="0" w:beforeAutospacing="0" w:after="0" w:afterAutospacing="0"/>
        <w:ind w:firstLine="567"/>
        <w:jc w:val="both"/>
      </w:pPr>
      <w:r>
        <w:t>Мероприятия, предусмотренные Программой, могут уточняться и дополняться в зависимости от изменений в законодательстве Российской Федерации, возможностей бюджетов всех уровней.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Ресурсное обеспечение утверждается ежегодно на очередной финансовый год и составляет:</w:t>
      </w:r>
    </w:p>
    <w:p w:rsidR="00EF3A05" w:rsidRDefault="00EF3A05" w:rsidP="00EF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ED0" w:rsidRDefault="00A90ED0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-177 079,6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A90ED0" w:rsidRDefault="00A90ED0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-190, 760 за счет средств Местного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90ED0" w:rsidRDefault="00A90ED0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всего: </w:t>
      </w:r>
    </w:p>
    <w:p w:rsidR="00E24C55" w:rsidRDefault="00A90ED0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-1 235,0 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24C55" w:rsidRDefault="00E24C55" w:rsidP="00EF3A05">
      <w:pPr>
        <w:pStyle w:val="s1"/>
        <w:spacing w:before="0" w:beforeAutospacing="0" w:after="0" w:afterAutospacing="0"/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D9597E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597E">
        <w:rPr>
          <w:rFonts w:ascii="Times New Roman" w:hAnsi="Times New Roman" w:cs="Times New Roman"/>
          <w:b/>
          <w:bCs/>
          <w:sz w:val="24"/>
          <w:szCs w:val="24"/>
        </w:rPr>
        <w:t>Организация 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механизм реализации программы</w:t>
      </w:r>
    </w:p>
    <w:p w:rsidR="00870B35" w:rsidRPr="0014347A" w:rsidRDefault="00870B35" w:rsidP="00870B3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4347A">
        <w:rPr>
          <w:rFonts w:ascii="Times New Roman" w:hAnsi="Times New Roman" w:cs="Times New Roman"/>
          <w:bCs/>
          <w:sz w:val="24"/>
          <w:szCs w:val="24"/>
        </w:rPr>
        <w:t xml:space="preserve">Текущее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управление </w:t>
      </w:r>
      <w:r w:rsidRPr="0018667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ой</w:t>
      </w:r>
      <w:r w:rsidRPr="0018667D">
        <w:rPr>
          <w:rFonts w:ascii="Times New Roman" w:hAnsi="Times New Roman"/>
          <w:sz w:val="24"/>
          <w:szCs w:val="24"/>
        </w:rPr>
        <w:t xml:space="preserve"> осуществляет Заказчик Программы</w:t>
      </w:r>
      <w:r>
        <w:rPr>
          <w:rFonts w:ascii="Times New Roman" w:hAnsi="Times New Roman"/>
          <w:sz w:val="24"/>
          <w:szCs w:val="24"/>
        </w:rPr>
        <w:t>, через реализацию следующих мероприятий:</w:t>
      </w:r>
    </w:p>
    <w:tbl>
      <w:tblPr>
        <w:tblStyle w:val="a5"/>
        <w:tblpPr w:leftFromText="180" w:rightFromText="180" w:vertAnchor="page" w:horzAnchor="margin" w:tblpY="5979"/>
        <w:tblW w:w="9606" w:type="dxa"/>
        <w:tblLook w:val="04A0"/>
      </w:tblPr>
      <w:tblGrid>
        <w:gridCol w:w="674"/>
        <w:gridCol w:w="4396"/>
        <w:gridCol w:w="4536"/>
      </w:tblGrid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70B35" w:rsidRPr="008D042E" w:rsidTr="00870B35">
        <w:tc>
          <w:tcPr>
            <w:tcW w:w="9606" w:type="dxa"/>
            <w:gridSpan w:val="3"/>
          </w:tcPr>
          <w:p w:rsidR="00870B35" w:rsidRPr="008D042E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проекта планировки без проекта межевания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исходных данных (ранее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ДПТ,  Инженерные изыскания)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2D2130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проектирования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(ОУИЗО) + Застройщик</w:t>
            </w:r>
          </w:p>
        </w:tc>
      </w:tr>
      <w:tr w:rsidR="00870B35" w:rsidRPr="002D2130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коммерческих предложений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2D2130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предложения 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прямого договора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DC591D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информационной системе Распоряжения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разработке ДПТ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0D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планировки 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для размещения экспозиции и объявления)</w:t>
            </w:r>
          </w:p>
        </w:tc>
        <w:tc>
          <w:tcPr>
            <w:tcW w:w="453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+ проектная организация</w:t>
            </w:r>
          </w:p>
          <w:p w:rsidR="00870B35" w:rsidRPr="002F4F54" w:rsidRDefault="00870B35" w:rsidP="00870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листа ДПТ + Распоряжение о проведении публичных слушаний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54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об утверждении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54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2F4F54" w:rsidTr="00870B35">
        <w:tc>
          <w:tcPr>
            <w:tcW w:w="9606" w:type="dxa"/>
            <w:gridSpan w:val="3"/>
          </w:tcPr>
          <w:p w:rsidR="00870B35" w:rsidRPr="002F4F54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Предоставление земельного участка для строительства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земельного участка + кадастровый учет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инженер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оценку и подготовка отчета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торгах</w:t>
            </w:r>
          </w:p>
        </w:tc>
        <w:tc>
          <w:tcPr>
            <w:tcW w:w="4536" w:type="dxa"/>
          </w:tcPr>
          <w:p w:rsidR="00870B35" w:rsidRDefault="00870B35" w:rsidP="00870B35">
            <w:r w:rsidRPr="00B6782F"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в газете о торгах</w:t>
            </w:r>
          </w:p>
        </w:tc>
        <w:tc>
          <w:tcPr>
            <w:tcW w:w="4536" w:type="dxa"/>
          </w:tcPr>
          <w:p w:rsidR="00870B35" w:rsidRDefault="00870B35" w:rsidP="00870B35">
            <w:r w:rsidRPr="00B6782F"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 xml:space="preserve"> + 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договора аренды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985D7E" w:rsidTr="00870B35">
        <w:tc>
          <w:tcPr>
            <w:tcW w:w="9606" w:type="dxa"/>
            <w:gridSpan w:val="3"/>
          </w:tcPr>
          <w:p w:rsidR="0069585A" w:rsidRDefault="0069585A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85A" w:rsidRDefault="0069585A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B35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Разрешение на строительство</w:t>
            </w:r>
          </w:p>
          <w:p w:rsidR="0069585A" w:rsidRPr="00985D7E" w:rsidRDefault="0069585A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утверждения ДПТ)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</w:t>
            </w:r>
            <w:proofErr w:type="gramStart"/>
            <w:r w:rsidRPr="00985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ведущего специалиста по архитектуре и строительства)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ТУ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+ 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Изыскания  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453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C87998" w:rsidTr="00870B35">
        <w:tc>
          <w:tcPr>
            <w:tcW w:w="9606" w:type="dxa"/>
            <w:gridSpan w:val="3"/>
          </w:tcPr>
          <w:p w:rsidR="00870B35" w:rsidRPr="00C87998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Проведение аукциона на покупку квартир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закупок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первых частей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+ Застройщик</w:t>
            </w:r>
          </w:p>
        </w:tc>
      </w:tr>
    </w:tbl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0B35" w:rsidRPr="00C040DF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0B35" w:rsidRDefault="00870B35" w:rsidP="00870B35"/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D9597E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870B35" w:rsidRPr="0018667D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Методика оценки эффективности программы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муниципальных программ осуществляется в соответствии с Порядком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и реализации муниципальных целевых программ, утвержденным Постановлением Администрации Юрюзанского городского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Катав-Ивановского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 № 10 от 05.02.2010 г. 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не взаимосвязаны между собой, но реализация каждого из них влияет на выполнение целевых индикаторов программы.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муниципальной программы будет соответствовать: 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достижению плановых индикативных показателей (</w:t>
      </w: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Фактические индикативные показатели / Плановые индикативные показатели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полноте использования бюджетных средств: (ПИБС):</w:t>
      </w: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ПИБС = Фактическое использование бюджетных сре</w:t>
      </w: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/ Пл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ановое использование бюджетных средств.</w:t>
      </w:r>
    </w:p>
    <w:p w:rsidR="00B8365C" w:rsidRDefault="00B8365C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использования бюджетных средств по мероприятиям программы (О) будет равна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/ПИБС</w:t>
      </w: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1,4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1,4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низкая</w:t>
            </w:r>
          </w:p>
        </w:tc>
      </w:tr>
    </w:tbl>
    <w:p w:rsidR="00B55A8D" w:rsidRDefault="001D6829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B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Переселение из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непригодного</w:t>
      </w:r>
      <w:proofErr w:type="gramEnd"/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проживания жилищного</w:t>
      </w:r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фонда в </w:t>
      </w:r>
      <w:proofErr w:type="spell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Юрюзанском</w:t>
      </w:r>
      <w:proofErr w:type="spellEnd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D6829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городском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31" w:type="dxa"/>
        <w:tblInd w:w="91" w:type="dxa"/>
        <w:tblLook w:val="04A0"/>
      </w:tblPr>
      <w:tblGrid>
        <w:gridCol w:w="652"/>
        <w:gridCol w:w="23"/>
        <w:gridCol w:w="2370"/>
        <w:gridCol w:w="123"/>
        <w:gridCol w:w="1482"/>
        <w:gridCol w:w="26"/>
        <w:gridCol w:w="2008"/>
        <w:gridCol w:w="1070"/>
        <w:gridCol w:w="846"/>
        <w:gridCol w:w="1531"/>
      </w:tblGrid>
      <w:tr w:rsidR="00AB38D8" w:rsidRPr="00D11D5B" w:rsidTr="00494FDF">
        <w:trPr>
          <w:trHeight w:val="366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признания многоквартирного дома </w:t>
            </w:r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аварийном жилищном фонде, подлежащим расселению до 31.12.2022 г.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</w:tr>
      <w:tr w:rsidR="00AB38D8" w:rsidRPr="00D11D5B" w:rsidTr="00494FDF">
        <w:trPr>
          <w:trHeight w:val="421"/>
        </w:trPr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494FDF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8D8" w:rsidRPr="00D11D5B" w:rsidTr="00494FDF">
        <w:trPr>
          <w:trHeight w:val="600"/>
        </w:trPr>
        <w:tc>
          <w:tcPr>
            <w:tcW w:w="66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38D8" w:rsidRPr="00494FDF" w:rsidRDefault="00AB38D8" w:rsidP="0061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национального проекта «Жилье и городская среда»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494FDF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4051,2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494FDF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453E" w:rsidRPr="00D11D5B" w:rsidTr="00494FDF">
        <w:trPr>
          <w:trHeight w:val="67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переулок Фурманова, 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997A36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997A36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8 Марта, 12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8 Марта, 16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Юрюзань, улица </w:t>
            </w: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Абражанова</w:t>
            </w:r>
            <w:proofErr w:type="spell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Юрюзань, улица </w:t>
            </w: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Абражанова</w:t>
            </w:r>
            <w:proofErr w:type="spell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Гончарова, 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Гребнева, 15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Гребнева, 16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148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r w:rsidR="00652C8C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Юрюзань, улица Карла Маркса, 23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207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223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65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Пионерская, 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Пионерская, 7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139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141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149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152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156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157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163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165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167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494FDF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FDF" w:rsidRPr="00494FDF" w:rsidRDefault="00494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FDF" w:rsidRPr="00494FDF" w:rsidRDefault="00494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Юрюзань, улица Советская, 7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FDF" w:rsidRPr="00494FDF" w:rsidRDefault="00494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FDF" w:rsidRPr="00494FDF" w:rsidRDefault="00494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FDF" w:rsidRPr="00494FDF" w:rsidRDefault="00494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FDF" w:rsidRPr="00494FDF" w:rsidRDefault="00494F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FDF" w:rsidRPr="00494FDF" w:rsidRDefault="00494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 г.</w:t>
            </w:r>
          </w:p>
        </w:tc>
      </w:tr>
      <w:tr w:rsidR="00494FDF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FDF" w:rsidRPr="00494FDF" w:rsidRDefault="00494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FDF" w:rsidRPr="00494FDF" w:rsidRDefault="00494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Юрюзань, улица Советская,48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FDF" w:rsidRPr="00494FDF" w:rsidRDefault="00494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FDF" w:rsidRPr="00494FDF" w:rsidRDefault="00494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FDF" w:rsidRPr="00494FDF" w:rsidRDefault="00494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FDF" w:rsidRPr="00494FDF" w:rsidRDefault="00494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FDF" w:rsidRPr="00494FDF" w:rsidRDefault="00494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 г.</w:t>
            </w:r>
          </w:p>
        </w:tc>
      </w:tr>
      <w:tr w:rsidR="0029358B" w:rsidRPr="00D11D5B" w:rsidTr="00494FDF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58B" w:rsidRPr="00494FDF" w:rsidRDefault="00494FDF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58B" w:rsidRPr="00494FDF" w:rsidRDefault="0029358B" w:rsidP="0029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</w:t>
            </w:r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Красная Горка, 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58B" w:rsidRPr="00494FDF" w:rsidRDefault="00D754E5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58B" w:rsidRPr="00494FDF" w:rsidRDefault="00DB6653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58B" w:rsidRPr="00494FDF" w:rsidRDefault="00494FDF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358B" w:rsidRPr="00494FDF" w:rsidRDefault="00494FDF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58B" w:rsidRPr="00494FDF" w:rsidRDefault="00494F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</w:tr>
    </w:tbl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1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2249"/>
        <w:gridCol w:w="1249"/>
        <w:gridCol w:w="2249"/>
        <w:gridCol w:w="1176"/>
        <w:gridCol w:w="1055"/>
        <w:gridCol w:w="1742"/>
      </w:tblGrid>
      <w:tr w:rsidR="001D6829" w:rsidRPr="001D6829" w:rsidTr="00985F19">
        <w:trPr>
          <w:trHeight w:val="15"/>
          <w:tblCellSpacing w:w="15" w:type="dxa"/>
        </w:trPr>
        <w:tc>
          <w:tcPr>
            <w:tcW w:w="748" w:type="dxa"/>
            <w:vAlign w:val="center"/>
            <w:hideMark/>
          </w:tcPr>
          <w:p w:rsidR="001D6829" w:rsidRPr="001D6829" w:rsidRDefault="001D6829" w:rsidP="00B5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9" w:type="dxa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9" w:type="dxa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5" w:type="dxa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5A">
        <w:rPr>
          <w:rFonts w:ascii="Times New Roman" w:hAnsi="Times New Roman" w:cs="Times New Roman"/>
        </w:rPr>
        <w:t xml:space="preserve">Приложение 2 </w:t>
      </w: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Переселение из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непригодного</w:t>
      </w:r>
      <w:proofErr w:type="gramEnd"/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проживания жилищного</w:t>
      </w:r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фонда в </w:t>
      </w:r>
      <w:proofErr w:type="spell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Юрюзанском</w:t>
      </w:r>
      <w:proofErr w:type="spellEnd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585A" w:rsidRPr="001D6829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городском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9585A" w:rsidRDefault="0069585A" w:rsidP="0069585A">
      <w:pPr>
        <w:rPr>
          <w:rFonts w:ascii="Times New Roman" w:hAnsi="Times New Roman" w:cs="Times New Roman"/>
        </w:rPr>
      </w:pPr>
      <w:r w:rsidRPr="0069585A">
        <w:rPr>
          <w:rFonts w:ascii="Times New Roman" w:hAnsi="Times New Roman" w:cs="Times New Roman"/>
        </w:rPr>
        <w:t>Основные мероприятия по расселению</w:t>
      </w:r>
    </w:p>
    <w:tbl>
      <w:tblPr>
        <w:tblW w:w="10280" w:type="dxa"/>
        <w:tblInd w:w="94" w:type="dxa"/>
        <w:tblLook w:val="04A0"/>
      </w:tblPr>
      <w:tblGrid>
        <w:gridCol w:w="447"/>
        <w:gridCol w:w="1575"/>
        <w:gridCol w:w="1159"/>
        <w:gridCol w:w="1150"/>
        <w:gridCol w:w="1150"/>
        <w:gridCol w:w="1344"/>
        <w:gridCol w:w="613"/>
        <w:gridCol w:w="1404"/>
        <w:gridCol w:w="1485"/>
      </w:tblGrid>
      <w:tr w:rsidR="006E6F22" w:rsidRPr="006E6F22" w:rsidTr="006E6F22">
        <w:trPr>
          <w:trHeight w:val="151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дома, признанного аварийным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жителей  (чел)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жилых помещений (квартир), подлежащих расселению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жилых помещений, подлежащих расселению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  домов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собственности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источник финансирования</w:t>
            </w:r>
          </w:p>
        </w:tc>
      </w:tr>
      <w:tr w:rsidR="006E6F22" w:rsidRPr="006E6F22" w:rsidTr="006E6F22">
        <w:trPr>
          <w:trHeight w:val="51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Част-ная</w:t>
            </w:r>
            <w:proofErr w:type="spellEnd"/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52C8C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E6F22" w:rsidRPr="006E6F22" w:rsidTr="006E6F22">
        <w:trPr>
          <w:trHeight w:val="510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этап- 2020 год</w:t>
            </w:r>
          </w:p>
        </w:tc>
      </w:tr>
      <w:tr w:rsidR="006E6F22" w:rsidRPr="006E6F22" w:rsidTr="006E6F22">
        <w:trPr>
          <w:trHeight w:val="300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жилых помещений у застройщиков в строящихся домах</w:t>
            </w:r>
          </w:p>
        </w:tc>
      </w:tr>
      <w:tr w:rsidR="006E6F22" w:rsidRPr="006E6F22" w:rsidTr="006E6F22">
        <w:trPr>
          <w:trHeight w:val="102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урманова, д.№5 (1,2,3,5,6,7,8,9,10)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177079,6 тыс. руб. 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бластной бюджет 190,76 </w:t>
            </w: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тыс.руб.-местный</w:t>
            </w:r>
            <w:proofErr w:type="spell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6E6F22" w:rsidRPr="006E6F22" w:rsidTr="006E6F22">
        <w:trPr>
          <w:trHeight w:val="102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ул.К.Маркса, д.№9 (1,2,3,4)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</w:t>
            </w: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7(1, 2/2, 2/3, 2/4, 2/5, 3, 4, 5, 6/1, 6/2, 6/3, 7, 8, 9, 10, 11, 12)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</w:t>
            </w: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 (1,4,5,6,7,8,10)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ул.8марта, д.№12 (1,2,3,4)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ул.8марта, д.№16 (1, 4, 5, 6)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ончарова д.№5 (17)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д.№148 (1,2,3)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д.№150 (1,2,3,4)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д.№152 (2,3,4)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д.№154 (1,3,4)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д.№156 (1,2)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д.№160 (2,3)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д.№162 (4)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д.№164 (3,4)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д.№166 (1)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д.№23(2,9)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д..№207 (3)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д.№223 (2)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д.№139(1,2,3)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д.№141 (1,2)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д.№149 (4)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д.№152 (2)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д.№156 (1,4)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д.№157 (1,2,3)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д.№163 (1,2,3)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ребнева д.№15 (1,2,3)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ребнева д.№16 (2,4)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Клубная д.№1(1,3,7,8)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Клубная д.№2 (1,2,5,6,7,8)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30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Клубная </w:t>
            </w: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(1,2,3,7,8)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510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лубная д.№4 (1,2,5,6,7,8)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д.№5 (2,3)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д.№7 (1)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бражанова</w:t>
            </w:r>
            <w:proofErr w:type="spell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(7)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Абражанова</w:t>
            </w:r>
            <w:proofErr w:type="spell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(3)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4004,1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F22" w:rsidRPr="006E6F22" w:rsidTr="006E6F22">
        <w:trPr>
          <w:trHeight w:val="300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этап- 2021 год</w:t>
            </w:r>
          </w:p>
        </w:tc>
      </w:tr>
      <w:tr w:rsidR="006E6F22" w:rsidRPr="006E6F22" w:rsidTr="006E6F22">
        <w:trPr>
          <w:trHeight w:val="300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6E6F22" w:rsidRPr="006E6F22" w:rsidTr="006E6F22">
        <w:trPr>
          <w:trHeight w:val="103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расная Горка </w:t>
            </w: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(2)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1235,0 </w:t>
            </w: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уб.-местный</w:t>
            </w:r>
            <w:proofErr w:type="spell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6E6F22" w:rsidRPr="006E6F22" w:rsidTr="006E6F2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B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6F22" w:rsidRPr="006E6F22" w:rsidTr="006E6F2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22" w:rsidRPr="00652C8C" w:rsidRDefault="006E6F22" w:rsidP="006E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E6F22" w:rsidRDefault="006E6F22" w:rsidP="0069585A">
      <w:pPr>
        <w:rPr>
          <w:rFonts w:ascii="Times New Roman" w:hAnsi="Times New Roman" w:cs="Times New Roman"/>
        </w:rPr>
      </w:pPr>
    </w:p>
    <w:p w:rsidR="006E6F22" w:rsidRDefault="006E6F22" w:rsidP="0069585A">
      <w:pPr>
        <w:rPr>
          <w:rFonts w:ascii="Times New Roman" w:hAnsi="Times New Roman" w:cs="Times New Roman"/>
        </w:rPr>
      </w:pPr>
    </w:p>
    <w:p w:rsidR="006E6F22" w:rsidRDefault="006E6F22" w:rsidP="0069585A">
      <w:pPr>
        <w:rPr>
          <w:rFonts w:ascii="Times New Roman" w:hAnsi="Times New Roman" w:cs="Times New Roman"/>
        </w:rPr>
      </w:pPr>
    </w:p>
    <w:p w:rsidR="006E6F22" w:rsidRDefault="006E6F22" w:rsidP="0069585A">
      <w:pPr>
        <w:rPr>
          <w:rFonts w:ascii="Times New Roman" w:hAnsi="Times New Roman" w:cs="Times New Roman"/>
        </w:rPr>
      </w:pPr>
    </w:p>
    <w:p w:rsidR="006E6F22" w:rsidRDefault="006E6F22" w:rsidP="0069585A">
      <w:pPr>
        <w:rPr>
          <w:rFonts w:ascii="Times New Roman" w:hAnsi="Times New Roman" w:cs="Times New Roman"/>
        </w:rPr>
      </w:pPr>
    </w:p>
    <w:p w:rsidR="006E6F22" w:rsidRDefault="006E6F22" w:rsidP="0069585A">
      <w:pPr>
        <w:rPr>
          <w:rFonts w:ascii="Times New Roman" w:hAnsi="Times New Roman" w:cs="Times New Roman"/>
        </w:rPr>
      </w:pPr>
    </w:p>
    <w:p w:rsidR="006E6F22" w:rsidRDefault="006E6F22" w:rsidP="0069585A">
      <w:pPr>
        <w:rPr>
          <w:rFonts w:ascii="Times New Roman" w:hAnsi="Times New Roman" w:cs="Times New Roman"/>
        </w:rPr>
      </w:pPr>
    </w:p>
    <w:p w:rsidR="006E6F22" w:rsidRDefault="006E6F22" w:rsidP="0069585A">
      <w:pPr>
        <w:rPr>
          <w:rFonts w:ascii="Times New Roman" w:hAnsi="Times New Roman" w:cs="Times New Roman"/>
        </w:rPr>
      </w:pPr>
    </w:p>
    <w:p w:rsidR="006E6F22" w:rsidRPr="0069585A" w:rsidRDefault="006E6F22" w:rsidP="0069585A">
      <w:pPr>
        <w:rPr>
          <w:rFonts w:ascii="Times New Roman" w:hAnsi="Times New Roman" w:cs="Times New Roman"/>
        </w:rPr>
      </w:pPr>
    </w:p>
    <w:p w:rsidR="007044DC" w:rsidRDefault="007044DC"/>
    <w:p w:rsidR="007044DC" w:rsidRDefault="007044DC"/>
    <w:p w:rsidR="007044DC" w:rsidRDefault="007044DC"/>
    <w:p w:rsidR="007044DC" w:rsidRDefault="007044DC"/>
    <w:p w:rsidR="007044DC" w:rsidRDefault="007044DC"/>
    <w:p w:rsidR="007044DC" w:rsidRDefault="007044DC"/>
    <w:p w:rsidR="007044DC" w:rsidRDefault="007044DC"/>
    <w:p w:rsidR="007044DC" w:rsidRDefault="007044DC"/>
    <w:p w:rsidR="007B6AC7" w:rsidRPr="00EF49FB" w:rsidRDefault="007B6AC7">
      <w:pPr>
        <w:rPr>
          <w:color w:val="FF0000"/>
        </w:rPr>
        <w:sectPr w:rsidR="007B6AC7" w:rsidRPr="00EF49FB" w:rsidSect="004276BF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384FA4" w:rsidRDefault="00384FA4" w:rsidP="001B34FF">
      <w:pPr>
        <w:framePr w:w="54" w:h="9198" w:hRule="exact" w:wrap="auto" w:vAnchor="page" w:hAnchor="page" w:x="1" w:y="2722"/>
        <w:sectPr w:rsidR="00384FA4" w:rsidSect="00384FA4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1B34FF" w:rsidRDefault="001B34FF">
      <w:r>
        <w:rPr>
          <w:rFonts w:ascii="Times New Roman" w:hAnsi="Times New Roman" w:cs="Times New Roman"/>
          <w:sz w:val="20"/>
          <w:szCs w:val="20"/>
        </w:rPr>
        <w:lastRenderedPageBreak/>
        <w:t>Таблица 1.  План-график реализации программы</w:t>
      </w:r>
    </w:p>
    <w:tbl>
      <w:tblPr>
        <w:tblStyle w:val="a5"/>
        <w:tblpPr w:leftFromText="180" w:rightFromText="180" w:vertAnchor="page" w:horzAnchor="margin" w:tblpY="1907"/>
        <w:tblW w:w="15961" w:type="dxa"/>
        <w:tblLayout w:type="fixed"/>
        <w:tblLook w:val="04A0"/>
      </w:tblPr>
      <w:tblGrid>
        <w:gridCol w:w="486"/>
        <w:gridCol w:w="1437"/>
        <w:gridCol w:w="1020"/>
        <w:gridCol w:w="851"/>
        <w:gridCol w:w="709"/>
        <w:gridCol w:w="854"/>
        <w:gridCol w:w="1272"/>
        <w:gridCol w:w="1152"/>
        <w:gridCol w:w="1093"/>
        <w:gridCol w:w="1134"/>
        <w:gridCol w:w="1134"/>
        <w:gridCol w:w="1275"/>
        <w:gridCol w:w="1134"/>
        <w:gridCol w:w="1276"/>
        <w:gridCol w:w="1134"/>
      </w:tblGrid>
      <w:tr w:rsidR="001B34FF" w:rsidTr="001B34FF">
        <w:tc>
          <w:tcPr>
            <w:tcW w:w="48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7" w:type="dxa"/>
          </w:tcPr>
          <w:p w:rsidR="001B34FF" w:rsidRPr="00384FA4" w:rsidRDefault="001B34FF" w:rsidP="001B34FF">
            <w:pPr>
              <w:ind w:lef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переселения</w:t>
            </w:r>
          </w:p>
        </w:tc>
        <w:tc>
          <w:tcPr>
            <w:tcW w:w="1020" w:type="dxa"/>
          </w:tcPr>
          <w:p w:rsidR="001B34FF" w:rsidRPr="00384FA4" w:rsidRDefault="001B34FF" w:rsidP="001B34FF">
            <w:pPr>
              <w:ind w:left="-1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Расселяемая площадь жилых помещений, м</w:t>
            </w:r>
            <w:r w:rsidRPr="00384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B34FF" w:rsidRPr="00384FA4" w:rsidRDefault="001B34FF" w:rsidP="001B34FF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помещений, ед.</w:t>
            </w:r>
          </w:p>
        </w:tc>
        <w:tc>
          <w:tcPr>
            <w:tcW w:w="709" w:type="dxa"/>
          </w:tcPr>
          <w:p w:rsidR="001B34FF" w:rsidRPr="00384FA4" w:rsidRDefault="001B34FF" w:rsidP="001B34FF">
            <w:pPr>
              <w:ind w:left="-44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граждан, чел.</w:t>
            </w:r>
          </w:p>
        </w:tc>
        <w:tc>
          <w:tcPr>
            <w:tcW w:w="854" w:type="dxa"/>
          </w:tcPr>
          <w:p w:rsidR="001B34FF" w:rsidRPr="00384FA4" w:rsidRDefault="001B34FF" w:rsidP="001B34FF">
            <w:pPr>
              <w:ind w:left="-38" w:firstLine="2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Предоставляемая площадь,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Образованы земельные участки под строительство (плановая дата)</w:t>
            </w:r>
          </w:p>
        </w:tc>
        <w:tc>
          <w:tcPr>
            <w:tcW w:w="1152" w:type="dxa"/>
          </w:tcPr>
          <w:p w:rsidR="001B34FF" w:rsidRDefault="001B34FF" w:rsidP="001B34FF">
            <w:pPr>
              <w:ind w:left="-70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</w:t>
            </w:r>
            <w:proofErr w:type="spellEnd"/>
          </w:p>
          <w:p w:rsidR="001B34FF" w:rsidRPr="00384FA4" w:rsidRDefault="001B34FF" w:rsidP="001B34FF">
            <w:pPr>
              <w:ind w:left="-70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 застройщика на земельные участки (плановая дата)</w:t>
            </w:r>
          </w:p>
        </w:tc>
        <w:tc>
          <w:tcPr>
            <w:tcW w:w="1093" w:type="dxa"/>
          </w:tcPr>
          <w:p w:rsidR="001B34FF" w:rsidRPr="00384FA4" w:rsidRDefault="001B34FF" w:rsidP="001B34FF">
            <w:pPr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Подготовлена проектная документация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разрешение на строительство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 конкурс на строительство (приобретение) жилых помещений (плановая дата)</w:t>
            </w:r>
          </w:p>
        </w:tc>
        <w:tc>
          <w:tcPr>
            <w:tcW w:w="1275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на строительство, договор на приобретение жилых помещений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введен в эксплуатацию (плановая дата)</w:t>
            </w:r>
          </w:p>
        </w:tc>
        <w:tc>
          <w:tcPr>
            <w:tcW w:w="127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Зарегистрировано право собственности муниципального образования на жилые помещения (плановая дата)</w:t>
            </w:r>
          </w:p>
        </w:tc>
        <w:tc>
          <w:tcPr>
            <w:tcW w:w="1134" w:type="dxa"/>
          </w:tcPr>
          <w:p w:rsidR="001B34FF" w:rsidRDefault="001B34FF" w:rsidP="001B34FF">
            <w:pPr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 переселение (плановая дата)</w:t>
            </w:r>
          </w:p>
        </w:tc>
      </w:tr>
      <w:tr w:rsidR="001B34FF" w:rsidRPr="00384FA4" w:rsidTr="001B34FF">
        <w:tc>
          <w:tcPr>
            <w:tcW w:w="48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B34FF" w:rsidTr="001B34FF">
        <w:tc>
          <w:tcPr>
            <w:tcW w:w="15961" w:type="dxa"/>
            <w:gridSpan w:val="15"/>
          </w:tcPr>
          <w:p w:rsidR="001B34FF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 -2020 г.</w:t>
            </w:r>
          </w:p>
        </w:tc>
      </w:tr>
      <w:tr w:rsidR="00DB6653" w:rsidRPr="00384FA4" w:rsidTr="001B34FF">
        <w:tc>
          <w:tcPr>
            <w:tcW w:w="486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застройщиков в домах, введенных в эксплуатацию</w:t>
            </w:r>
          </w:p>
        </w:tc>
        <w:tc>
          <w:tcPr>
            <w:tcW w:w="1020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4004,1</w:t>
            </w:r>
          </w:p>
        </w:tc>
        <w:tc>
          <w:tcPr>
            <w:tcW w:w="851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854" w:type="dxa"/>
          </w:tcPr>
          <w:p w:rsidR="00DB6653" w:rsidRPr="00384FA4" w:rsidRDefault="00DB6653" w:rsidP="00DB6653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</w:t>
            </w:r>
          </w:p>
        </w:tc>
        <w:tc>
          <w:tcPr>
            <w:tcW w:w="1272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152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01.2021</w:t>
            </w:r>
          </w:p>
        </w:tc>
        <w:tc>
          <w:tcPr>
            <w:tcW w:w="1093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06.2020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09.2020</w:t>
            </w:r>
          </w:p>
        </w:tc>
        <w:tc>
          <w:tcPr>
            <w:tcW w:w="1275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09.2021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11.2021</w:t>
            </w:r>
          </w:p>
        </w:tc>
        <w:tc>
          <w:tcPr>
            <w:tcW w:w="1276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01.2022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93532" w:rsidRPr="00384FA4" w:rsidTr="001B34FF">
        <w:tc>
          <w:tcPr>
            <w:tcW w:w="486" w:type="dxa"/>
          </w:tcPr>
          <w:p w:rsidR="00B93532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B93532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0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4004,1</w:t>
            </w:r>
          </w:p>
        </w:tc>
        <w:tc>
          <w:tcPr>
            <w:tcW w:w="851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854" w:type="dxa"/>
          </w:tcPr>
          <w:p w:rsidR="00B93532" w:rsidRPr="00384FA4" w:rsidRDefault="00B93532" w:rsidP="00B93532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</w:t>
            </w:r>
          </w:p>
        </w:tc>
        <w:tc>
          <w:tcPr>
            <w:tcW w:w="1272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653" w:rsidRPr="00384FA4" w:rsidTr="001B34FF">
        <w:tc>
          <w:tcPr>
            <w:tcW w:w="15961" w:type="dxa"/>
            <w:gridSpan w:val="15"/>
          </w:tcPr>
          <w:p w:rsidR="00DB6653" w:rsidRPr="00384FA4" w:rsidRDefault="00DB6653" w:rsidP="00DB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 -2021 г.</w:t>
            </w:r>
          </w:p>
        </w:tc>
      </w:tr>
      <w:tr w:rsidR="00DB6653" w:rsidRPr="00384FA4" w:rsidTr="001B34FF">
        <w:trPr>
          <w:trHeight w:val="1899"/>
        </w:trPr>
        <w:tc>
          <w:tcPr>
            <w:tcW w:w="486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1020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72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</w:tc>
        <w:tc>
          <w:tcPr>
            <w:tcW w:w="1275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03.2021</w:t>
            </w:r>
          </w:p>
        </w:tc>
      </w:tr>
      <w:tr w:rsidR="00B93532" w:rsidRPr="00384FA4" w:rsidTr="001B34FF">
        <w:tc>
          <w:tcPr>
            <w:tcW w:w="486" w:type="dxa"/>
          </w:tcPr>
          <w:p w:rsidR="00B93532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B93532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0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72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532" w:rsidRPr="00384FA4" w:rsidRDefault="00B93532" w:rsidP="00B9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4FF" w:rsidRDefault="001B34FF">
      <w:pPr>
        <w:sectPr w:rsidR="001B34FF" w:rsidSect="001B34FF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384FA4" w:rsidRDefault="00384FA4"/>
    <w:p w:rsidR="00384FA4" w:rsidRDefault="00384FA4"/>
    <w:p w:rsidR="00384FA4" w:rsidRDefault="00384FA4"/>
    <w:sectPr w:rsidR="00384FA4" w:rsidSect="004276B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DF" w:rsidRDefault="00494FDF" w:rsidP="00494FDF">
      <w:pPr>
        <w:spacing w:after="0" w:line="240" w:lineRule="auto"/>
      </w:pPr>
      <w:r>
        <w:separator/>
      </w:r>
    </w:p>
  </w:endnote>
  <w:endnote w:type="continuationSeparator" w:id="0">
    <w:p w:rsidR="00494FDF" w:rsidRDefault="00494FDF" w:rsidP="0049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DF" w:rsidRDefault="00494FDF" w:rsidP="00494FDF">
      <w:pPr>
        <w:spacing w:after="0" w:line="240" w:lineRule="auto"/>
      </w:pPr>
      <w:r>
        <w:separator/>
      </w:r>
    </w:p>
  </w:footnote>
  <w:footnote w:type="continuationSeparator" w:id="0">
    <w:p w:rsidR="00494FDF" w:rsidRDefault="00494FDF" w:rsidP="0049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1403"/>
    <w:multiLevelType w:val="hybridMultilevel"/>
    <w:tmpl w:val="DFE0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44F9D"/>
    <w:multiLevelType w:val="hybridMultilevel"/>
    <w:tmpl w:val="ABD6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A78"/>
    <w:multiLevelType w:val="hybridMultilevel"/>
    <w:tmpl w:val="E618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561E2"/>
    <w:multiLevelType w:val="hybridMultilevel"/>
    <w:tmpl w:val="D5768F54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0E8"/>
    <w:rsid w:val="0000594E"/>
    <w:rsid w:val="000224EB"/>
    <w:rsid w:val="00035C4D"/>
    <w:rsid w:val="000368A8"/>
    <w:rsid w:val="000770E8"/>
    <w:rsid w:val="000841EB"/>
    <w:rsid w:val="00084322"/>
    <w:rsid w:val="000904C8"/>
    <w:rsid w:val="000B3F6D"/>
    <w:rsid w:val="000C07FB"/>
    <w:rsid w:val="000C1528"/>
    <w:rsid w:val="000F1179"/>
    <w:rsid w:val="00110EF0"/>
    <w:rsid w:val="001777C7"/>
    <w:rsid w:val="00183327"/>
    <w:rsid w:val="001B34FF"/>
    <w:rsid w:val="001D6829"/>
    <w:rsid w:val="00210D41"/>
    <w:rsid w:val="002172E2"/>
    <w:rsid w:val="00224BD9"/>
    <w:rsid w:val="002726A4"/>
    <w:rsid w:val="00275FEC"/>
    <w:rsid w:val="0029358B"/>
    <w:rsid w:val="002976BD"/>
    <w:rsid w:val="002A2AEE"/>
    <w:rsid w:val="002C4AFD"/>
    <w:rsid w:val="002E529B"/>
    <w:rsid w:val="002F7C5D"/>
    <w:rsid w:val="00336F03"/>
    <w:rsid w:val="00341CDB"/>
    <w:rsid w:val="00384FA4"/>
    <w:rsid w:val="003D1376"/>
    <w:rsid w:val="00424A2D"/>
    <w:rsid w:val="004276BF"/>
    <w:rsid w:val="0043530B"/>
    <w:rsid w:val="00446E53"/>
    <w:rsid w:val="00447815"/>
    <w:rsid w:val="00494FDF"/>
    <w:rsid w:val="004B1C7C"/>
    <w:rsid w:val="004D508F"/>
    <w:rsid w:val="004D5563"/>
    <w:rsid w:val="004E55A3"/>
    <w:rsid w:val="004F141B"/>
    <w:rsid w:val="004F42CB"/>
    <w:rsid w:val="004F78F2"/>
    <w:rsid w:val="00524ACF"/>
    <w:rsid w:val="00525821"/>
    <w:rsid w:val="0053623A"/>
    <w:rsid w:val="00587829"/>
    <w:rsid w:val="005903BC"/>
    <w:rsid w:val="005A7C2D"/>
    <w:rsid w:val="005D4835"/>
    <w:rsid w:val="0060520D"/>
    <w:rsid w:val="006126F2"/>
    <w:rsid w:val="0061453E"/>
    <w:rsid w:val="006175D1"/>
    <w:rsid w:val="00652C8C"/>
    <w:rsid w:val="00676D6D"/>
    <w:rsid w:val="0069585A"/>
    <w:rsid w:val="0069702C"/>
    <w:rsid w:val="0069734B"/>
    <w:rsid w:val="006B028D"/>
    <w:rsid w:val="006E049B"/>
    <w:rsid w:val="006E6F22"/>
    <w:rsid w:val="006F4942"/>
    <w:rsid w:val="007044DC"/>
    <w:rsid w:val="007051BD"/>
    <w:rsid w:val="00710E18"/>
    <w:rsid w:val="00710EA9"/>
    <w:rsid w:val="00717AD4"/>
    <w:rsid w:val="00737A05"/>
    <w:rsid w:val="007426EC"/>
    <w:rsid w:val="0075169C"/>
    <w:rsid w:val="00765169"/>
    <w:rsid w:val="00767E81"/>
    <w:rsid w:val="007722E6"/>
    <w:rsid w:val="00772D6E"/>
    <w:rsid w:val="007947BB"/>
    <w:rsid w:val="007B6AC7"/>
    <w:rsid w:val="007C2136"/>
    <w:rsid w:val="007D0359"/>
    <w:rsid w:val="007F1E65"/>
    <w:rsid w:val="00817710"/>
    <w:rsid w:val="00831A5E"/>
    <w:rsid w:val="0083394B"/>
    <w:rsid w:val="0085709B"/>
    <w:rsid w:val="00870B35"/>
    <w:rsid w:val="0087274A"/>
    <w:rsid w:val="008757B8"/>
    <w:rsid w:val="008915DE"/>
    <w:rsid w:val="008A3090"/>
    <w:rsid w:val="008A368E"/>
    <w:rsid w:val="008A4088"/>
    <w:rsid w:val="008B7AAA"/>
    <w:rsid w:val="008C3425"/>
    <w:rsid w:val="008E144A"/>
    <w:rsid w:val="008E63B0"/>
    <w:rsid w:val="009031DE"/>
    <w:rsid w:val="00905A01"/>
    <w:rsid w:val="00937BC4"/>
    <w:rsid w:val="00985F19"/>
    <w:rsid w:val="00997A36"/>
    <w:rsid w:val="009B0D01"/>
    <w:rsid w:val="009B6CD0"/>
    <w:rsid w:val="009D0A42"/>
    <w:rsid w:val="009D36F6"/>
    <w:rsid w:val="00A22F1B"/>
    <w:rsid w:val="00A747B0"/>
    <w:rsid w:val="00A80CD8"/>
    <w:rsid w:val="00A90ED0"/>
    <w:rsid w:val="00A97CDE"/>
    <w:rsid w:val="00AB38D8"/>
    <w:rsid w:val="00AC4E12"/>
    <w:rsid w:val="00AE0DC5"/>
    <w:rsid w:val="00AF1E9B"/>
    <w:rsid w:val="00AF4B6C"/>
    <w:rsid w:val="00AF6260"/>
    <w:rsid w:val="00B164C3"/>
    <w:rsid w:val="00B32E4E"/>
    <w:rsid w:val="00B4536C"/>
    <w:rsid w:val="00B55A8D"/>
    <w:rsid w:val="00B60BB8"/>
    <w:rsid w:val="00B8365C"/>
    <w:rsid w:val="00B93532"/>
    <w:rsid w:val="00BA040A"/>
    <w:rsid w:val="00BB14C7"/>
    <w:rsid w:val="00C16413"/>
    <w:rsid w:val="00C42F01"/>
    <w:rsid w:val="00C64CF3"/>
    <w:rsid w:val="00C81938"/>
    <w:rsid w:val="00C939BA"/>
    <w:rsid w:val="00CA261A"/>
    <w:rsid w:val="00CD229F"/>
    <w:rsid w:val="00CF5ED4"/>
    <w:rsid w:val="00D02F3D"/>
    <w:rsid w:val="00D26787"/>
    <w:rsid w:val="00D53D90"/>
    <w:rsid w:val="00D7420A"/>
    <w:rsid w:val="00D754E5"/>
    <w:rsid w:val="00D90140"/>
    <w:rsid w:val="00DA3533"/>
    <w:rsid w:val="00DA7C86"/>
    <w:rsid w:val="00DB6653"/>
    <w:rsid w:val="00DB7499"/>
    <w:rsid w:val="00DD185C"/>
    <w:rsid w:val="00DD2259"/>
    <w:rsid w:val="00DD2D83"/>
    <w:rsid w:val="00E028DD"/>
    <w:rsid w:val="00E24C55"/>
    <w:rsid w:val="00E31160"/>
    <w:rsid w:val="00E34454"/>
    <w:rsid w:val="00E714BD"/>
    <w:rsid w:val="00E85623"/>
    <w:rsid w:val="00E94F27"/>
    <w:rsid w:val="00EA5A23"/>
    <w:rsid w:val="00EB4D00"/>
    <w:rsid w:val="00EC2179"/>
    <w:rsid w:val="00ED2EDF"/>
    <w:rsid w:val="00ED7E86"/>
    <w:rsid w:val="00EF3A05"/>
    <w:rsid w:val="00EF49FB"/>
    <w:rsid w:val="00F107E7"/>
    <w:rsid w:val="00F35B86"/>
    <w:rsid w:val="00F54078"/>
    <w:rsid w:val="00F658A2"/>
    <w:rsid w:val="00F66E4C"/>
    <w:rsid w:val="00F761DE"/>
    <w:rsid w:val="00F779A3"/>
    <w:rsid w:val="00F92B80"/>
    <w:rsid w:val="00F932AB"/>
    <w:rsid w:val="00FA281B"/>
    <w:rsid w:val="00FA3F90"/>
    <w:rsid w:val="00FF4A1F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60"/>
  </w:style>
  <w:style w:type="paragraph" w:styleId="2">
    <w:name w:val="heading 2"/>
    <w:basedOn w:val="a"/>
    <w:link w:val="20"/>
    <w:uiPriority w:val="9"/>
    <w:qFormat/>
    <w:rsid w:val="00077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7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70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6BF"/>
    <w:pPr>
      <w:ind w:left="720"/>
      <w:contextualSpacing/>
    </w:pPr>
  </w:style>
  <w:style w:type="table" w:styleId="a5">
    <w:name w:val="Table Grid"/>
    <w:basedOn w:val="a1"/>
    <w:uiPriority w:val="59"/>
    <w:rsid w:val="003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07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D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E049B"/>
    <w:rPr>
      <w:i/>
      <w:iCs/>
    </w:rPr>
  </w:style>
  <w:style w:type="paragraph" w:customStyle="1" w:styleId="s3">
    <w:name w:val="s_3"/>
    <w:basedOn w:val="a"/>
    <w:rsid w:val="006E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10D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210D41"/>
    <w:rPr>
      <w:rFonts w:ascii="Calibri" w:eastAsia="Times New Roman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210D4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49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94FDF"/>
  </w:style>
  <w:style w:type="paragraph" w:styleId="ae">
    <w:name w:val="footer"/>
    <w:basedOn w:val="a"/>
    <w:link w:val="af"/>
    <w:uiPriority w:val="99"/>
    <w:semiHidden/>
    <w:unhideWhenUsed/>
    <w:rsid w:val="0049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94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FAB37-C805-48C3-A26A-82E70440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15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2021-03-17T10:05:00Z</cp:lastPrinted>
  <dcterms:created xsi:type="dcterms:W3CDTF">2021-02-19T04:54:00Z</dcterms:created>
  <dcterms:modified xsi:type="dcterms:W3CDTF">2021-03-17T10:06:00Z</dcterms:modified>
</cp:coreProperties>
</file>